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5832" w14:textId="704FF963" w:rsidR="003356F7" w:rsidRPr="004A4161" w:rsidRDefault="00DB25AB">
      <w:pPr>
        <w:rPr>
          <w:b/>
          <w:bCs/>
          <w:sz w:val="28"/>
          <w:szCs w:val="28"/>
        </w:rPr>
      </w:pPr>
      <w:r w:rsidRPr="004A4161">
        <w:rPr>
          <w:b/>
          <w:bCs/>
          <w:sz w:val="28"/>
          <w:szCs w:val="28"/>
        </w:rPr>
        <w:t>Fund Manager December 2021 Commentary – Lowland Investment Company</w:t>
      </w:r>
    </w:p>
    <w:p w14:paraId="0FD9203A" w14:textId="16231F23" w:rsidR="00DB25AB" w:rsidRPr="004A4161" w:rsidRDefault="004A4161" w:rsidP="004A4161">
      <w:pPr>
        <w:pStyle w:val="NormalWeb"/>
        <w:rPr>
          <w:rFonts w:ascii="Segoe UI" w:hAnsi="Segoe UI" w:cs="Segoe UI"/>
          <w:sz w:val="21"/>
          <w:szCs w:val="21"/>
        </w:rPr>
      </w:pPr>
      <w:r>
        <w:rPr>
          <w:rStyle w:val="Strong"/>
          <w:rFonts w:ascii="Segoe UI" w:hAnsi="Segoe UI" w:cs="Segoe UI"/>
          <w:i/>
          <w:iCs/>
          <w:sz w:val="21"/>
          <w:szCs w:val="21"/>
        </w:rPr>
        <w:t>Laura Foll, Co-Portfolio Manager of Lowland Investment Company</w:t>
      </w:r>
      <w:r>
        <w:rPr>
          <w:rStyle w:val="Emphasis"/>
          <w:rFonts w:ascii="Segoe UI" w:hAnsi="Segoe UI" w:cs="Segoe UI"/>
          <w:sz w:val="21"/>
          <w:szCs w:val="21"/>
        </w:rPr>
        <w:t xml:space="preserve">, delivers an update on the Trust, highlighting the key drivers of performance, recent portfolio activity, and provides an outlook for the UK equity market. </w:t>
      </w:r>
    </w:p>
    <w:p w14:paraId="1FA9CBA7" w14:textId="270FE5CD" w:rsidR="00DB25AB" w:rsidRDefault="00DB25AB" w:rsidP="00DB25AB">
      <w:r>
        <w:t>UK equity markets rose strongly during December following growing evidence that the Omicron variant of Covid-19 is less severe (with, for example, a lower estimated hospitalisation rate). There is</w:t>
      </w:r>
      <w:r w:rsidR="00DA0E6A">
        <w:t xml:space="preserve">, </w:t>
      </w:r>
      <w:r>
        <w:t>therefore</w:t>
      </w:r>
      <w:r w:rsidR="00DA0E6A">
        <w:t xml:space="preserve">, </w:t>
      </w:r>
      <w:r>
        <w:t>potentially less requirement for trading restrictions beyond the UK government’s existing ‘plan B’ measures. During the month</w:t>
      </w:r>
      <w:r w:rsidR="00DA0E6A">
        <w:t xml:space="preserve">, </w:t>
      </w:r>
      <w:r>
        <w:t>the Trust’s net asset value rose 5.8%, while its FTSE All-Share benchmark rose 4.7% and AIC UK Equity Income peer group rose 4.5% (all figures on a total return basis)</w:t>
      </w:r>
      <w:r w:rsidR="0065689B">
        <w:t>.</w:t>
      </w:r>
      <w:r w:rsidR="0065689B">
        <w:rPr>
          <w:rStyle w:val="FootnoteReference"/>
        </w:rPr>
        <w:footnoteReference w:id="1"/>
      </w:r>
    </w:p>
    <w:p w14:paraId="4FF682BC" w14:textId="34444450" w:rsidR="00DB25AB" w:rsidRDefault="00DB25AB" w:rsidP="00DB25AB">
      <w:r>
        <w:t xml:space="preserve">Among the best performers during the month was flexible vehicle hire firm </w:t>
      </w:r>
      <w:proofErr w:type="spellStart"/>
      <w:r>
        <w:t>Redde</w:t>
      </w:r>
      <w:proofErr w:type="spellEnd"/>
      <w:r>
        <w:t xml:space="preserve"> Northgate, following encouraging interim results where profit before tax for the full year was guided to being ‘at least’ in line with market expectations. </w:t>
      </w:r>
      <w:proofErr w:type="spellStart"/>
      <w:r>
        <w:t>Redde</w:t>
      </w:r>
      <w:proofErr w:type="spellEnd"/>
      <w:r>
        <w:t xml:space="preserve"> Northgate earnings have benefitted from several factors</w:t>
      </w:r>
      <w:r w:rsidR="00DA0E6A">
        <w:t xml:space="preserve">, </w:t>
      </w:r>
      <w:r>
        <w:t>including the growth in online shopping, resulting in increased demand for van hire for last</w:t>
      </w:r>
      <w:r w:rsidR="00DA0E6A">
        <w:t>-</w:t>
      </w:r>
      <w:r>
        <w:t>mile delivery. Also among the good performers in December was corporate services firm K3 Capital, following reporting results in line with market expectations. Detractors from performance during December were largely ‘underweight’ positions in large benchmark stocks that performed well, including AstraZeneca and HSBC.</w:t>
      </w:r>
    </w:p>
    <w:p w14:paraId="3F02418F" w14:textId="39FD837C" w:rsidR="00DB25AB" w:rsidRDefault="00DB25AB" w:rsidP="00DB25AB">
      <w:r>
        <w:t>Turning to transactions during the month - the position in retailer Halfords was added to in a placing to fund the acquisition of a national chain of garages. In our view</w:t>
      </w:r>
      <w:r w:rsidR="00DA0E6A">
        <w:t xml:space="preserve">, </w:t>
      </w:r>
      <w:r>
        <w:t>the acquisition looks complementary to their existing Autocentres business, with the potential for significant synergies from the combination (such as enhanced purchasing power and removing duplicate costs). We also added to the position in Kingfisher (the owner of brands including B&amp;Q and Screwfix). In our view</w:t>
      </w:r>
      <w:r w:rsidR="00DA0E6A">
        <w:t>,</w:t>
      </w:r>
      <w:r>
        <w:t xml:space="preserve"> Screwfix has the potential for good future earnings growth, both within the UK and in countries such as France.</w:t>
      </w:r>
    </w:p>
    <w:p w14:paraId="5A0EB84D" w14:textId="5652E498" w:rsidR="00DA0E6A" w:rsidRDefault="00DB25AB" w:rsidP="00DB25AB">
      <w:r>
        <w:t xml:space="preserve">Looking ahead into 2022, there are several reasons to be optimistic about the UK backdrop. Consensus estimates real UK economic growth in ’22 of 4.8%, and the UK is starting the year with a low unemployment rate and a better than historic average household balance sheet (which should give households more of a savings ‘buffer’ to counteract rising prices). The UK equity market also enters 2022 at a valuation (measured by 12-month forward price/earnings) which is not out of line with its own historic average and is lower than other developed equity markets (particularly the US). This is not to say there are not risks, the most material in our view being persistent high inflation, which brings alongside it the risk of central bank policy error and pressure on household real disposable incomes. </w:t>
      </w:r>
    </w:p>
    <w:tbl>
      <w:tblPr>
        <w:tblStyle w:val="ListTable4-Accent6"/>
        <w:tblW w:w="0" w:type="auto"/>
        <w:tblLook w:val="04A0" w:firstRow="1" w:lastRow="0" w:firstColumn="1" w:lastColumn="0" w:noHBand="0" w:noVBand="1"/>
      </w:tblPr>
      <w:tblGrid>
        <w:gridCol w:w="3061"/>
        <w:gridCol w:w="2691"/>
        <w:gridCol w:w="2528"/>
      </w:tblGrid>
      <w:tr w:rsidR="000B65AC" w14:paraId="51D74820" w14:textId="20F995F6" w:rsidTr="000B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385F88CD" w14:textId="77777777" w:rsidR="000B65AC" w:rsidRDefault="000B65AC" w:rsidP="000B65AC">
            <w:pPr>
              <w:rPr>
                <w:b w:val="0"/>
                <w:bCs w:val="0"/>
              </w:rPr>
            </w:pPr>
            <w:r>
              <w:t>Discrete year performance</w:t>
            </w:r>
          </w:p>
          <w:p w14:paraId="3FE71FD8" w14:textId="46DBB97D" w:rsidR="000B65AC" w:rsidRDefault="000B65AC" w:rsidP="000B65AC">
            <w:r>
              <w:t xml:space="preserve">% change (updated quarterly) </w:t>
            </w:r>
          </w:p>
        </w:tc>
        <w:tc>
          <w:tcPr>
            <w:tcW w:w="2691" w:type="dxa"/>
          </w:tcPr>
          <w:p w14:paraId="48FF170A" w14:textId="77777777" w:rsidR="000B65AC" w:rsidRDefault="000B65AC" w:rsidP="000B65AC">
            <w:pPr>
              <w:jc w:val="right"/>
              <w:cnfStyle w:val="100000000000" w:firstRow="1" w:lastRow="0" w:firstColumn="0" w:lastColumn="0" w:oddVBand="0" w:evenVBand="0" w:oddHBand="0" w:evenHBand="0" w:firstRowFirstColumn="0" w:firstRowLastColumn="0" w:lastRowFirstColumn="0" w:lastRowLastColumn="0"/>
              <w:rPr>
                <w:b w:val="0"/>
                <w:bCs w:val="0"/>
              </w:rPr>
            </w:pPr>
            <w:r>
              <w:t xml:space="preserve">Share </w:t>
            </w:r>
          </w:p>
          <w:p w14:paraId="22527ECD" w14:textId="7D23C208" w:rsidR="000B65AC" w:rsidRDefault="000B65AC" w:rsidP="000B65AC">
            <w:pPr>
              <w:jc w:val="right"/>
              <w:cnfStyle w:val="100000000000" w:firstRow="1" w:lastRow="0" w:firstColumn="0" w:lastColumn="0" w:oddVBand="0" w:evenVBand="0" w:oddHBand="0" w:evenHBand="0" w:firstRowFirstColumn="0" w:firstRowLastColumn="0" w:lastRowFirstColumn="0" w:lastRowLastColumn="0"/>
            </w:pPr>
            <w:r>
              <w:t xml:space="preserve">Price </w:t>
            </w:r>
          </w:p>
        </w:tc>
        <w:tc>
          <w:tcPr>
            <w:tcW w:w="2528" w:type="dxa"/>
          </w:tcPr>
          <w:p w14:paraId="21FAC1CE" w14:textId="0F3F5A60" w:rsidR="000B65AC" w:rsidRDefault="000B65AC" w:rsidP="000B65AC">
            <w:pPr>
              <w:jc w:val="right"/>
              <w:cnfStyle w:val="100000000000" w:firstRow="1" w:lastRow="0" w:firstColumn="0" w:lastColumn="0" w:oddVBand="0" w:evenVBand="0" w:oddHBand="0" w:evenHBand="0" w:firstRowFirstColumn="0" w:firstRowLastColumn="0" w:lastRowFirstColumn="0" w:lastRowLastColumn="0"/>
            </w:pPr>
            <w:r>
              <w:t xml:space="preserve">NAV </w:t>
            </w:r>
          </w:p>
        </w:tc>
      </w:tr>
      <w:tr w:rsidR="000B65AC" w14:paraId="2FF5E04F" w14:textId="4E8A3002" w:rsidTr="000B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4AF6E2AB" w14:textId="4900F1B8" w:rsidR="000B65AC" w:rsidRPr="000B65AC" w:rsidRDefault="000B65AC" w:rsidP="000B65AC">
            <w:pPr>
              <w:rPr>
                <w:b w:val="0"/>
                <w:bCs w:val="0"/>
              </w:rPr>
            </w:pPr>
            <w:r w:rsidRPr="000B65AC">
              <w:rPr>
                <w:b w:val="0"/>
                <w:bCs w:val="0"/>
              </w:rPr>
              <w:t>30/09/2020 to 30/09/2021</w:t>
            </w:r>
          </w:p>
        </w:tc>
        <w:tc>
          <w:tcPr>
            <w:tcW w:w="2691" w:type="dxa"/>
          </w:tcPr>
          <w:p w14:paraId="6DECC95D" w14:textId="5FD7A038" w:rsidR="000B65AC" w:rsidRDefault="000B65AC" w:rsidP="000B65AC">
            <w:pPr>
              <w:jc w:val="right"/>
              <w:cnfStyle w:val="000000100000" w:firstRow="0" w:lastRow="0" w:firstColumn="0" w:lastColumn="0" w:oddVBand="0" w:evenVBand="0" w:oddHBand="1" w:evenHBand="0" w:firstRowFirstColumn="0" w:firstRowLastColumn="0" w:lastRowFirstColumn="0" w:lastRowLastColumn="0"/>
            </w:pPr>
            <w:r>
              <w:t>53.3</w:t>
            </w:r>
          </w:p>
        </w:tc>
        <w:tc>
          <w:tcPr>
            <w:tcW w:w="2528" w:type="dxa"/>
          </w:tcPr>
          <w:p w14:paraId="266099A4" w14:textId="0C7AE08E" w:rsidR="000B65AC" w:rsidRDefault="000B65AC" w:rsidP="000B65AC">
            <w:pPr>
              <w:jc w:val="right"/>
              <w:cnfStyle w:val="000000100000" w:firstRow="0" w:lastRow="0" w:firstColumn="0" w:lastColumn="0" w:oddVBand="0" w:evenVBand="0" w:oddHBand="1" w:evenHBand="0" w:firstRowFirstColumn="0" w:firstRowLastColumn="0" w:lastRowFirstColumn="0" w:lastRowLastColumn="0"/>
            </w:pPr>
            <w:r>
              <w:t>55.1</w:t>
            </w:r>
          </w:p>
        </w:tc>
      </w:tr>
      <w:tr w:rsidR="000B65AC" w14:paraId="71B73A9B" w14:textId="786D4CBE" w:rsidTr="000B65AC">
        <w:tc>
          <w:tcPr>
            <w:cnfStyle w:val="001000000000" w:firstRow="0" w:lastRow="0" w:firstColumn="1" w:lastColumn="0" w:oddVBand="0" w:evenVBand="0" w:oddHBand="0" w:evenHBand="0" w:firstRowFirstColumn="0" w:firstRowLastColumn="0" w:lastRowFirstColumn="0" w:lastRowLastColumn="0"/>
            <w:tcW w:w="3061" w:type="dxa"/>
          </w:tcPr>
          <w:p w14:paraId="06AB035B" w14:textId="3C160393" w:rsidR="000B65AC" w:rsidRPr="000B65AC" w:rsidRDefault="000B65AC" w:rsidP="000B65AC">
            <w:pPr>
              <w:rPr>
                <w:b w:val="0"/>
                <w:bCs w:val="0"/>
              </w:rPr>
            </w:pPr>
            <w:r w:rsidRPr="000B65AC">
              <w:rPr>
                <w:b w:val="0"/>
                <w:bCs w:val="0"/>
              </w:rPr>
              <w:t>30/09/2019 to 30/09/2020</w:t>
            </w:r>
          </w:p>
        </w:tc>
        <w:tc>
          <w:tcPr>
            <w:tcW w:w="2691" w:type="dxa"/>
          </w:tcPr>
          <w:p w14:paraId="15E79E79" w14:textId="6E2A7329" w:rsidR="000B65AC" w:rsidRDefault="000B65AC" w:rsidP="000B65AC">
            <w:pPr>
              <w:jc w:val="right"/>
              <w:cnfStyle w:val="000000000000" w:firstRow="0" w:lastRow="0" w:firstColumn="0" w:lastColumn="0" w:oddVBand="0" w:evenVBand="0" w:oddHBand="0" w:evenHBand="0" w:firstRowFirstColumn="0" w:firstRowLastColumn="0" w:lastRowFirstColumn="0" w:lastRowLastColumn="0"/>
            </w:pPr>
            <w:r>
              <w:t>-24.6</w:t>
            </w:r>
          </w:p>
        </w:tc>
        <w:tc>
          <w:tcPr>
            <w:tcW w:w="2528" w:type="dxa"/>
          </w:tcPr>
          <w:p w14:paraId="14261035" w14:textId="61056C98" w:rsidR="000B65AC" w:rsidRDefault="000B65AC" w:rsidP="000B65AC">
            <w:pPr>
              <w:jc w:val="right"/>
              <w:cnfStyle w:val="000000000000" w:firstRow="0" w:lastRow="0" w:firstColumn="0" w:lastColumn="0" w:oddVBand="0" w:evenVBand="0" w:oddHBand="0" w:evenHBand="0" w:firstRowFirstColumn="0" w:firstRowLastColumn="0" w:lastRowFirstColumn="0" w:lastRowLastColumn="0"/>
            </w:pPr>
            <w:r>
              <w:t>-24.8</w:t>
            </w:r>
          </w:p>
        </w:tc>
      </w:tr>
      <w:tr w:rsidR="000B65AC" w14:paraId="6292A626" w14:textId="5555F826" w:rsidTr="000B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1D50446C" w14:textId="3C26BF04" w:rsidR="000B65AC" w:rsidRPr="000B65AC" w:rsidRDefault="000B65AC" w:rsidP="000B65AC">
            <w:pPr>
              <w:rPr>
                <w:b w:val="0"/>
                <w:bCs w:val="0"/>
              </w:rPr>
            </w:pPr>
            <w:r w:rsidRPr="000B65AC">
              <w:rPr>
                <w:b w:val="0"/>
                <w:bCs w:val="0"/>
              </w:rPr>
              <w:t>28/09/2018 to 30/09/2019</w:t>
            </w:r>
          </w:p>
        </w:tc>
        <w:tc>
          <w:tcPr>
            <w:tcW w:w="2691" w:type="dxa"/>
          </w:tcPr>
          <w:p w14:paraId="41688A69" w14:textId="6D90DE88" w:rsidR="000B65AC" w:rsidRDefault="000B65AC" w:rsidP="000B65AC">
            <w:pPr>
              <w:jc w:val="right"/>
              <w:cnfStyle w:val="000000100000" w:firstRow="0" w:lastRow="0" w:firstColumn="0" w:lastColumn="0" w:oddVBand="0" w:evenVBand="0" w:oddHBand="1" w:evenHBand="0" w:firstRowFirstColumn="0" w:firstRowLastColumn="0" w:lastRowFirstColumn="0" w:lastRowLastColumn="0"/>
            </w:pPr>
            <w:r>
              <w:t>-11.9</w:t>
            </w:r>
          </w:p>
        </w:tc>
        <w:tc>
          <w:tcPr>
            <w:tcW w:w="2528" w:type="dxa"/>
          </w:tcPr>
          <w:p w14:paraId="5E1D9B53" w14:textId="2823E839" w:rsidR="000B65AC" w:rsidRDefault="000B65AC" w:rsidP="000B65AC">
            <w:pPr>
              <w:jc w:val="right"/>
              <w:cnfStyle w:val="000000100000" w:firstRow="0" w:lastRow="0" w:firstColumn="0" w:lastColumn="0" w:oddVBand="0" w:evenVBand="0" w:oddHBand="1" w:evenHBand="0" w:firstRowFirstColumn="0" w:firstRowLastColumn="0" w:lastRowFirstColumn="0" w:lastRowLastColumn="0"/>
            </w:pPr>
            <w:r>
              <w:t>-9.6</w:t>
            </w:r>
          </w:p>
        </w:tc>
      </w:tr>
      <w:tr w:rsidR="000B65AC" w14:paraId="161AAD9D" w14:textId="03828F52" w:rsidTr="000B65AC">
        <w:tc>
          <w:tcPr>
            <w:cnfStyle w:val="001000000000" w:firstRow="0" w:lastRow="0" w:firstColumn="1" w:lastColumn="0" w:oddVBand="0" w:evenVBand="0" w:oddHBand="0" w:evenHBand="0" w:firstRowFirstColumn="0" w:firstRowLastColumn="0" w:lastRowFirstColumn="0" w:lastRowLastColumn="0"/>
            <w:tcW w:w="3061" w:type="dxa"/>
          </w:tcPr>
          <w:p w14:paraId="2EFCEF00" w14:textId="72113828" w:rsidR="000B65AC" w:rsidRPr="000B65AC" w:rsidRDefault="000B65AC" w:rsidP="000B65AC">
            <w:pPr>
              <w:rPr>
                <w:b w:val="0"/>
                <w:bCs w:val="0"/>
              </w:rPr>
            </w:pPr>
            <w:r w:rsidRPr="000B65AC">
              <w:rPr>
                <w:b w:val="0"/>
                <w:bCs w:val="0"/>
              </w:rPr>
              <w:t>29/09/2017 to 28/09/2018</w:t>
            </w:r>
          </w:p>
        </w:tc>
        <w:tc>
          <w:tcPr>
            <w:tcW w:w="2691" w:type="dxa"/>
          </w:tcPr>
          <w:p w14:paraId="46892343" w14:textId="69B6044F" w:rsidR="000B65AC" w:rsidRDefault="000B65AC" w:rsidP="000B65AC">
            <w:pPr>
              <w:jc w:val="right"/>
              <w:cnfStyle w:val="000000000000" w:firstRow="0" w:lastRow="0" w:firstColumn="0" w:lastColumn="0" w:oddVBand="0" w:evenVBand="0" w:oddHBand="0" w:evenHBand="0" w:firstRowFirstColumn="0" w:firstRowLastColumn="0" w:lastRowFirstColumn="0" w:lastRowLastColumn="0"/>
            </w:pPr>
            <w:r>
              <w:t>4.2</w:t>
            </w:r>
          </w:p>
        </w:tc>
        <w:tc>
          <w:tcPr>
            <w:tcW w:w="2528" w:type="dxa"/>
          </w:tcPr>
          <w:p w14:paraId="42C0E972" w14:textId="0490A6DB" w:rsidR="000B65AC" w:rsidRDefault="000B65AC" w:rsidP="000B65AC">
            <w:pPr>
              <w:jc w:val="right"/>
              <w:cnfStyle w:val="000000000000" w:firstRow="0" w:lastRow="0" w:firstColumn="0" w:lastColumn="0" w:oddVBand="0" w:evenVBand="0" w:oddHBand="0" w:evenHBand="0" w:firstRowFirstColumn="0" w:firstRowLastColumn="0" w:lastRowFirstColumn="0" w:lastRowLastColumn="0"/>
            </w:pPr>
            <w:r>
              <w:t>3.0</w:t>
            </w:r>
          </w:p>
        </w:tc>
      </w:tr>
      <w:tr w:rsidR="000B65AC" w14:paraId="0BCB762E" w14:textId="6B928AA0" w:rsidTr="000B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18832592" w14:textId="14A0F6E5" w:rsidR="000B65AC" w:rsidRPr="000B65AC" w:rsidRDefault="000B65AC" w:rsidP="000B65AC">
            <w:pPr>
              <w:rPr>
                <w:b w:val="0"/>
                <w:bCs w:val="0"/>
              </w:rPr>
            </w:pPr>
            <w:r w:rsidRPr="000B65AC">
              <w:rPr>
                <w:b w:val="0"/>
                <w:bCs w:val="0"/>
              </w:rPr>
              <w:t>30/09/2016 to 29/09/2017</w:t>
            </w:r>
          </w:p>
        </w:tc>
        <w:tc>
          <w:tcPr>
            <w:tcW w:w="2691" w:type="dxa"/>
          </w:tcPr>
          <w:p w14:paraId="482D4561" w14:textId="06D0431D" w:rsidR="000B65AC" w:rsidRDefault="000B65AC" w:rsidP="000B65AC">
            <w:pPr>
              <w:jc w:val="right"/>
              <w:cnfStyle w:val="000000100000" w:firstRow="0" w:lastRow="0" w:firstColumn="0" w:lastColumn="0" w:oddVBand="0" w:evenVBand="0" w:oddHBand="1" w:evenHBand="0" w:firstRowFirstColumn="0" w:firstRowLastColumn="0" w:lastRowFirstColumn="0" w:lastRowLastColumn="0"/>
            </w:pPr>
            <w:r>
              <w:t>16.4</w:t>
            </w:r>
          </w:p>
        </w:tc>
        <w:tc>
          <w:tcPr>
            <w:tcW w:w="2528" w:type="dxa"/>
          </w:tcPr>
          <w:p w14:paraId="6FDD0360" w14:textId="3C5DD25C" w:rsidR="000B65AC" w:rsidRDefault="000B65AC" w:rsidP="000B65AC">
            <w:pPr>
              <w:jc w:val="right"/>
              <w:cnfStyle w:val="000000100000" w:firstRow="0" w:lastRow="0" w:firstColumn="0" w:lastColumn="0" w:oddVBand="0" w:evenVBand="0" w:oddHBand="1" w:evenHBand="0" w:firstRowFirstColumn="0" w:firstRowLastColumn="0" w:lastRowFirstColumn="0" w:lastRowLastColumn="0"/>
            </w:pPr>
            <w:r>
              <w:t>17.0</w:t>
            </w:r>
          </w:p>
        </w:tc>
      </w:tr>
      <w:tr w:rsidR="000B65AC" w14:paraId="0A19A65E" w14:textId="77777777" w:rsidTr="0072381D">
        <w:tc>
          <w:tcPr>
            <w:cnfStyle w:val="001000000000" w:firstRow="0" w:lastRow="0" w:firstColumn="1" w:lastColumn="0" w:oddVBand="0" w:evenVBand="0" w:oddHBand="0" w:evenHBand="0" w:firstRowFirstColumn="0" w:firstRowLastColumn="0" w:lastRowFirstColumn="0" w:lastRowLastColumn="0"/>
            <w:tcW w:w="8280" w:type="dxa"/>
            <w:gridSpan w:val="3"/>
          </w:tcPr>
          <w:p w14:paraId="0A055850" w14:textId="1C9057C6" w:rsidR="000B65AC" w:rsidRPr="003C69CA" w:rsidRDefault="003C69CA" w:rsidP="003C69CA">
            <w:pPr>
              <w:ind w:right="440"/>
              <w:rPr>
                <w:b w:val="0"/>
                <w:bCs w:val="0"/>
              </w:rPr>
            </w:pPr>
            <w:r w:rsidRPr="003C69CA">
              <w:rPr>
                <w:b w:val="0"/>
                <w:bCs w:val="0"/>
                <w:sz w:val="20"/>
                <w:szCs w:val="20"/>
              </w:rPr>
              <w:t>All performance, cumulative growth and annual growth data is sourced from Morningstar</w:t>
            </w:r>
            <w:r>
              <w:rPr>
                <w:b w:val="0"/>
                <w:bCs w:val="0"/>
                <w:sz w:val="20"/>
                <w:szCs w:val="20"/>
              </w:rPr>
              <w:t>.</w:t>
            </w:r>
          </w:p>
        </w:tc>
      </w:tr>
    </w:tbl>
    <w:p w14:paraId="07905C96" w14:textId="18D457C7" w:rsidR="00DB25AB" w:rsidRDefault="00DB25AB"/>
    <w:p w14:paraId="253830E1" w14:textId="2FDDF1C5" w:rsidR="00E907DF" w:rsidRPr="000B65AC" w:rsidRDefault="00E907DF">
      <w:pPr>
        <w:rPr>
          <w:b/>
          <w:bCs/>
        </w:rPr>
      </w:pPr>
      <w:r w:rsidRPr="000B65AC">
        <w:rPr>
          <w:b/>
          <w:bCs/>
        </w:rPr>
        <w:t>Glossary</w:t>
      </w:r>
    </w:p>
    <w:p w14:paraId="3E58A767" w14:textId="0E0411EA" w:rsidR="00E907DF" w:rsidRPr="000B65AC" w:rsidRDefault="00E907DF">
      <w:r w:rsidRPr="0065689B">
        <w:rPr>
          <w:b/>
          <w:bCs/>
        </w:rPr>
        <w:t>Forward price/earn</w:t>
      </w:r>
      <w:r w:rsidRPr="00E907DF">
        <w:rPr>
          <w:b/>
          <w:bCs/>
        </w:rPr>
        <w:t xml:space="preserve">ings </w:t>
      </w:r>
      <w:r w:rsidRPr="000B65AC">
        <w:t>- Forward price-to-earnings (forward P/E) is a version of the ratio of </w:t>
      </w:r>
      <w:hyperlink r:id="rId7" w:history="1">
        <w:r w:rsidRPr="000B65AC">
          <w:t>price-to-earnings</w:t>
        </w:r>
      </w:hyperlink>
      <w:r w:rsidRPr="000B65AC">
        <w:t> (P/E) that uses forecasted earnings for the P/E calculation.</w:t>
      </w:r>
    </w:p>
    <w:p w14:paraId="7090ED9A" w14:textId="04FEB100" w:rsidR="00E907DF" w:rsidRPr="0065689B" w:rsidRDefault="00E907DF">
      <w:r w:rsidRPr="000B65AC">
        <w:rPr>
          <w:b/>
          <w:bCs/>
        </w:rPr>
        <w:t>Inflation</w:t>
      </w:r>
      <w:r w:rsidRPr="000B65AC">
        <w:t xml:space="preserve"> - </w:t>
      </w:r>
      <w:r w:rsidRPr="000B65AC">
        <w:rPr>
          <w:rFonts w:hint="eastAsia"/>
        </w:rPr>
        <w:t>The rate at which the prices of goods and services are rising in an economy.</w:t>
      </w:r>
      <w:r>
        <w:t xml:space="preserve"> </w:t>
      </w:r>
      <w:r w:rsidRPr="000B65AC">
        <w:rPr>
          <w:rFonts w:hint="eastAsia"/>
        </w:rPr>
        <w:t>The CPI and RPI are two common measures. </w:t>
      </w:r>
    </w:p>
    <w:p w14:paraId="25274ACA" w14:textId="0762F839" w:rsidR="00E907DF" w:rsidRPr="0065689B" w:rsidRDefault="00E907DF">
      <w:r w:rsidRPr="000B65AC">
        <w:rPr>
          <w:b/>
          <w:bCs/>
        </w:rPr>
        <w:t>Net Asset Value</w:t>
      </w:r>
      <w:r w:rsidRPr="0065689B">
        <w:rPr>
          <w:b/>
          <w:bCs/>
        </w:rPr>
        <w:t xml:space="preserve"> (NAV) </w:t>
      </w:r>
      <w:r w:rsidRPr="000B65AC">
        <w:t xml:space="preserve">- </w:t>
      </w:r>
      <w:r w:rsidRPr="000B65AC">
        <w:rPr>
          <w:rFonts w:hint="eastAsia"/>
        </w:rPr>
        <w:t>The total value of a fund's assets less its liabilities.</w:t>
      </w:r>
    </w:p>
    <w:p w14:paraId="2305393C" w14:textId="47233ECA" w:rsidR="0065689B" w:rsidRDefault="00E907DF">
      <w:r w:rsidRPr="000B65AC">
        <w:rPr>
          <w:b/>
          <w:bCs/>
        </w:rPr>
        <w:t>Valuation</w:t>
      </w:r>
      <w:r w:rsidRPr="000B65AC">
        <w:t xml:space="preserve"> - </w:t>
      </w:r>
      <w:r w:rsidRPr="000B65AC">
        <w:rPr>
          <w:rFonts w:hint="eastAsia"/>
        </w:rPr>
        <w:t>Metrics used to gauge a company</w:t>
      </w:r>
      <w:r w:rsidRPr="000B65AC">
        <w:rPr>
          <w:rFonts w:hint="eastAsia"/>
        </w:rPr>
        <w:t>’</w:t>
      </w:r>
      <w:r w:rsidRPr="000B65AC">
        <w:rPr>
          <w:rFonts w:hint="eastAsia"/>
        </w:rPr>
        <w:t>s performance, financial health and expectations for future earnings eg, price to earnings (P/E) ratio and return on equity (ROE).</w:t>
      </w:r>
    </w:p>
    <w:p w14:paraId="0D927B68" w14:textId="77777777" w:rsidR="0065689B" w:rsidRDefault="0065689B">
      <w:pPr>
        <w:rPr>
          <w:b/>
          <w:bCs/>
        </w:rPr>
      </w:pPr>
    </w:p>
    <w:p w14:paraId="6291538D" w14:textId="1A717497" w:rsidR="008108FF" w:rsidRPr="008108FF" w:rsidRDefault="008108FF">
      <w:pPr>
        <w:rPr>
          <w:b/>
          <w:bCs/>
        </w:rPr>
      </w:pPr>
      <w:r w:rsidRPr="008108FF">
        <w:rPr>
          <w:b/>
          <w:bCs/>
        </w:rPr>
        <w:t>Important information</w:t>
      </w:r>
    </w:p>
    <w:p w14:paraId="6485FDF6" w14:textId="4901213B" w:rsidR="008108FF" w:rsidRDefault="008108FF" w:rsidP="008108FF">
      <w:r>
        <w:t xml:space="preserve">References made to individual securities should not constitute or form part of any offer or solicitation to issue, sell, subscribe, or purchase the security. Janus Henderson Investors, one of its affiliated advisors, or its employees, may have a position mentioned in the securities mentioned in the report. </w:t>
      </w:r>
    </w:p>
    <w:p w14:paraId="799E3F2C" w14:textId="704C95F7" w:rsidR="008108FF" w:rsidRDefault="008108FF" w:rsidP="008108FF">
      <w:r>
        <w:t>For promotional purposes. Not for onward distribution. Before investing in an investment trust referred to in this document, you should satisfy yourself as to its suitability and the risks involved, you may wish to consult a financial adviser. Past performance is not a guide to future performance. The value of an investment and the income from it can fall as well as rise and you may not get back the amount originally invested. Tax assumptions and reliefs depend upon an investor’s particular circumstances and may change if those circumstances or the law change. Nothing in this document is intended to or should be construed as advice.  This document is not a recommendation to sell or purchase any investment. It does not form part of any contract for the sale or purchase of any investment. We may record telephone calls for our mutual protection, to improve customer service and for regulatory record keeping purposes.</w:t>
      </w:r>
    </w:p>
    <w:p w14:paraId="2BC9DAAB" w14:textId="1B8E3599" w:rsidR="008108FF" w:rsidRDefault="008108FF" w:rsidP="008108FF">
      <w:r>
        <w:t>Issued in the UK by Janus Henderson Investors. Janus Henderson Investors is the name under which investment products and services are provided by Janus Capital International Limited (reg no. 3594615), Henderson Global Investors  Limited (reg. no. 906355), Henderson Investment Funds Limited (reg. no. 2678531), Henderson Equity Partners Limited (reg. no.2606646), (each registered in England and  Wales at 201 Bishopsgate, London EC2M 3AE and regulated by the Financial  Conduct Authority) and Henderson Management S.A. (reg no. B22848 at 2 Rue de Bitbourg, L-1273, Luxembourg and regulated by the Commission de Surveillance du Secteur Financier).</w:t>
      </w:r>
    </w:p>
    <w:p w14:paraId="25D4570E" w14:textId="79D69268" w:rsidR="008108FF" w:rsidRDefault="008108FF" w:rsidP="008108FF">
      <w:r>
        <w:t>Janus Henderson, Janus, Henderson, Intech, VelocityShares, Knowledge Shared, Knowledge. Shared and Knowledge Labs are trademarks of Janus Henderson Group plc or one of its subsidiaries. © Janus Henderson Group plc. </w:t>
      </w:r>
    </w:p>
    <w:sectPr w:rsidR="00810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661C4" w14:textId="77777777" w:rsidR="0065689B" w:rsidRDefault="0065689B" w:rsidP="0065689B">
      <w:pPr>
        <w:spacing w:after="0" w:line="240" w:lineRule="auto"/>
      </w:pPr>
      <w:r>
        <w:separator/>
      </w:r>
    </w:p>
  </w:endnote>
  <w:endnote w:type="continuationSeparator" w:id="0">
    <w:p w14:paraId="24587CFC" w14:textId="77777777" w:rsidR="0065689B" w:rsidRDefault="0065689B" w:rsidP="0065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19EE0" w14:textId="77777777" w:rsidR="0065689B" w:rsidRDefault="0065689B" w:rsidP="0065689B">
      <w:pPr>
        <w:spacing w:after="0" w:line="240" w:lineRule="auto"/>
      </w:pPr>
      <w:r>
        <w:separator/>
      </w:r>
    </w:p>
  </w:footnote>
  <w:footnote w:type="continuationSeparator" w:id="0">
    <w:p w14:paraId="6782801E" w14:textId="77777777" w:rsidR="0065689B" w:rsidRDefault="0065689B" w:rsidP="0065689B">
      <w:pPr>
        <w:spacing w:after="0" w:line="240" w:lineRule="auto"/>
      </w:pPr>
      <w:r>
        <w:continuationSeparator/>
      </w:r>
    </w:p>
  </w:footnote>
  <w:footnote w:id="1">
    <w:p w14:paraId="1EA1B561" w14:textId="67BF0742" w:rsidR="0065689B" w:rsidRDefault="0065689B">
      <w:pPr>
        <w:pStyle w:val="FootnoteText"/>
      </w:pPr>
      <w:r>
        <w:rPr>
          <w:rStyle w:val="FootnoteReference"/>
        </w:rPr>
        <w:footnoteRef/>
      </w:r>
      <w:r>
        <w:t xml:space="preserve"> Source: Bloomberg as at </w:t>
      </w:r>
      <w:r w:rsidR="00932B74">
        <w:t xml:space="preserve">18/01/2022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AB"/>
    <w:rsid w:val="000B65AC"/>
    <w:rsid w:val="001635D0"/>
    <w:rsid w:val="002466CC"/>
    <w:rsid w:val="003C69CA"/>
    <w:rsid w:val="004A4161"/>
    <w:rsid w:val="0065689B"/>
    <w:rsid w:val="006C08A6"/>
    <w:rsid w:val="008108FF"/>
    <w:rsid w:val="00932B74"/>
    <w:rsid w:val="00C91A1A"/>
    <w:rsid w:val="00DA0E6A"/>
    <w:rsid w:val="00DB25AB"/>
    <w:rsid w:val="00E907DF"/>
    <w:rsid w:val="00F01C7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4B4A"/>
  <w15:chartTrackingRefBased/>
  <w15:docId w15:val="{24324B8A-050D-4323-ACBF-3E264358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AB"/>
    <w:pPr>
      <w:spacing w:line="252" w:lineRule="auto"/>
    </w:pPr>
    <w:rPr>
      <w:rFonts w:ascii="Calibri" w:hAnsi="Calibri" w:cs="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1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4161"/>
    <w:rPr>
      <w:i/>
      <w:iCs/>
    </w:rPr>
  </w:style>
  <w:style w:type="character" w:styleId="Strong">
    <w:name w:val="Strong"/>
    <w:basedOn w:val="DefaultParagraphFont"/>
    <w:uiPriority w:val="22"/>
    <w:qFormat/>
    <w:rsid w:val="004A4161"/>
    <w:rPr>
      <w:b/>
      <w:bCs/>
    </w:rPr>
  </w:style>
  <w:style w:type="table" w:styleId="TableGrid">
    <w:name w:val="Table Grid"/>
    <w:basedOn w:val="TableNormal"/>
    <w:uiPriority w:val="39"/>
    <w:rsid w:val="00DA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DA0E6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C91A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E907DF"/>
    <w:rPr>
      <w:color w:val="0000FF"/>
      <w:u w:val="single"/>
    </w:rPr>
  </w:style>
  <w:style w:type="paragraph" w:styleId="FootnoteText">
    <w:name w:val="footnote text"/>
    <w:basedOn w:val="Normal"/>
    <w:link w:val="FootnoteTextChar"/>
    <w:uiPriority w:val="99"/>
    <w:semiHidden/>
    <w:unhideWhenUsed/>
    <w:rsid w:val="0065689B"/>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65689B"/>
    <w:rPr>
      <w:rFonts w:ascii="Calibri" w:hAnsi="Calibri" w:cs="Mangal"/>
      <w:sz w:val="20"/>
      <w:szCs w:val="18"/>
    </w:rPr>
  </w:style>
  <w:style w:type="character" w:styleId="FootnoteReference">
    <w:name w:val="footnote reference"/>
    <w:basedOn w:val="DefaultParagraphFont"/>
    <w:uiPriority w:val="99"/>
    <w:semiHidden/>
    <w:unhideWhenUsed/>
    <w:rsid w:val="00656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885717">
      <w:bodyDiv w:val="1"/>
      <w:marLeft w:val="0"/>
      <w:marRight w:val="0"/>
      <w:marTop w:val="0"/>
      <w:marBottom w:val="0"/>
      <w:divBdr>
        <w:top w:val="none" w:sz="0" w:space="0" w:color="auto"/>
        <w:left w:val="none" w:sz="0" w:space="0" w:color="auto"/>
        <w:bottom w:val="none" w:sz="0" w:space="0" w:color="auto"/>
        <w:right w:val="none" w:sz="0" w:space="0" w:color="auto"/>
      </w:divBdr>
    </w:div>
    <w:div w:id="1826628154">
      <w:bodyDiv w:val="1"/>
      <w:marLeft w:val="0"/>
      <w:marRight w:val="0"/>
      <w:marTop w:val="0"/>
      <w:marBottom w:val="0"/>
      <w:divBdr>
        <w:top w:val="none" w:sz="0" w:space="0" w:color="auto"/>
        <w:left w:val="none" w:sz="0" w:space="0" w:color="auto"/>
        <w:bottom w:val="none" w:sz="0" w:space="0" w:color="auto"/>
        <w:right w:val="none" w:sz="0" w:space="0" w:color="auto"/>
      </w:divBdr>
    </w:div>
    <w:div w:id="19358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https://www.investopedia.com/terms/p/price-earningsratio.asp"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CAT Marketing Collateral" ma:contentTypeID="0x010100DB00D8E4FA92D245B29A15982E35713B0005ACAC32B87B5C4CABDCFCA69E5C7B200001911907CC6EA34694D444A5D4CEBBEF" ma:contentTypeVersion="11" ma:contentTypeDescription="" ma:contentTypeScope="" ma:versionID="d8c942468fa26c6797d2b4adeb7156c5">
  <xsd:schema xmlns:xsd="http://www.w3.org/2001/XMLSchema" xmlns:xs="http://www.w3.org/2001/XMLSchema" xmlns:p="http://schemas.microsoft.com/office/2006/metadata/properties" xmlns:ns1="http://schemas.microsoft.com/sharepoint/v3" xmlns:ns2="bc5dd260-5b19-41d1-b286-aac207c950a5" xmlns:ns3="ed9e2542-5784-4d34-9897-c9a365e93e45" xmlns:ns4="493d78ab-5b92-465f-b35f-ab5305cfe00e" targetNamespace="http://schemas.microsoft.com/office/2006/metadata/properties" ma:root="true" ma:fieldsID="fc3e8b6430e78ce9dbc9f06856694dec" ns1:_="" ns2:_="" ns3:_="" ns4:_="">
    <xsd:import namespace="http://schemas.microsoft.com/sharepoint/v3"/>
    <xsd:import namespace="bc5dd260-5b19-41d1-b286-aac207c950a5"/>
    <xsd:import namespace="ed9e2542-5784-4d34-9897-c9a365e93e45"/>
    <xsd:import namespace="493d78ab-5b92-465f-b35f-ab5305cfe00e"/>
    <xsd:element name="properties">
      <xsd:complexType>
        <xsd:sequence>
          <xsd:element name="documentManagement">
            <xsd:complexType>
              <xsd:all>
                <xsd:element ref="ns2:JanusInformationProtectionClassification" minOccurs="0"/>
                <xsd:element ref="ns2:JanusInformationProtectionSub-Classification" minOccurs="0"/>
                <xsd:element ref="ns2:_dlc_DocId" minOccurs="0"/>
                <xsd:element ref="ns2:_dlc_DocIdUrl" minOccurs="0"/>
                <xsd:element ref="ns2:_dlc_DocIdPersistId" minOccurs="0"/>
                <xsd:element ref="ns3:BusinessUnit" minOccurs="0"/>
                <xsd:element ref="ns3:CCATDocumentID" minOccurs="0"/>
                <xsd:element ref="ns3:Channel" minOccurs="0"/>
                <xsd:element ref="ns3:CitiCode" minOccurs="0"/>
                <xsd:element ref="ns3:CitiExpirationDate" minOccurs="0"/>
                <xsd:element ref="ns3:CitiStatus" minOccurs="0"/>
                <xsd:element ref="ns3:CollateralAudience" minOccurs="0"/>
                <xsd:element ref="ns3:ComplianceApproverName" minOccurs="0"/>
                <xsd:element ref="ns3:Discipline" minOccurs="0"/>
                <xsd:element ref="ns3:DocumentType" minOccurs="0"/>
                <xsd:element ref="ns3:EdwardJonesCode" minOccurs="0"/>
                <xsd:element ref="ns3:EdwardJonesExpirationDate" minOccurs="0"/>
                <xsd:element ref="ns3:EdwardJonesStatus" minOccurs="0"/>
                <xsd:element ref="ns3:EstimatedComplianceTaskCompletionDate" minOccurs="0"/>
                <xsd:element ref="ns3:FileReleaseDate" minOccurs="0"/>
                <xsd:element ref="ns3:FINRAReferenceNumber" minOccurs="0"/>
                <xsd:element ref="ns3:FirmName" minOccurs="0"/>
                <xsd:element ref="ns3:FirstComplianceResponseDate" minOccurs="0"/>
                <xsd:element ref="ns3:FirstUseDate" minOccurs="0"/>
                <xsd:element ref="ns3:IsComplianceReviewRequired" minOccurs="0"/>
                <xsd:element ref="ns3:IsCreativeServicesRequired" minOccurs="0"/>
                <xsd:element ref="ns3:IsFINRAFilingRequired" minOccurs="0"/>
                <xsd:element ref="ns3:IsFirmFilingRequested" minOccurs="0"/>
                <xsd:element ref="ns3:IsMRC" minOccurs="0"/>
                <xsd:element ref="ns3:IsPrintedCopiesRequired" minOccurs="0"/>
                <xsd:element ref="ns3:JTRACProjectID" minOccurs="0"/>
                <xsd:element ref="ns3:LegalEntity" minOccurs="0"/>
                <xsd:element ref="ns3:MerrillLynchCode" minOccurs="0"/>
                <xsd:element ref="ns3:MerrillLynchExpirationDate" minOccurs="0"/>
                <xsd:element ref="ns3:MerrillLynchStatus" minOccurs="0"/>
                <xsd:element ref="ns3:MorganStanleyCode" minOccurs="0"/>
                <xsd:element ref="ns3:MorganStanleyExpirationDate" minOccurs="0"/>
                <xsd:element ref="ns3:MorganStanleyStatus" minOccurs="0"/>
                <xsd:element ref="ns3:MRCCategory" minOccurs="0"/>
                <xsd:element ref="ns3:MRCFilter" minOccurs="0"/>
                <xsd:element ref="ns3:PortfolioAttributeCode" minOccurs="0"/>
                <xsd:element ref="ns3:PortfolioManager" minOccurs="0"/>
                <xsd:element ref="ns3:PrintInhandDeliveryDate" minOccurs="0"/>
                <xsd:element ref="ns3:Product" minOccurs="0"/>
                <xsd:element ref="ns3:ProjectName" minOccurs="0"/>
                <xsd:element ref="ns3:CCATProjectOwner" minOccurs="0"/>
                <xsd:element ref="ns3:ProjectType" minOccurs="0"/>
                <xsd:element ref="ns3:RaymondJamesCode" minOccurs="0"/>
                <xsd:element ref="ns3:RaymondJamesExpirationDate" minOccurs="0"/>
                <xsd:element ref="ns3:RaymondJamesStatus" minOccurs="0"/>
                <xsd:element ref="ns3:ShareClass" minOccurs="0"/>
                <xsd:element ref="ns3:Strategy" minOccurs="0"/>
                <xsd:element ref="ns3:Submitter" minOccurs="0"/>
                <xsd:element ref="ns3:SynthesisID" minOccurs="0"/>
                <xsd:element ref="ns3:UBSCode" minOccurs="0"/>
                <xsd:element ref="ns3:UBSExpirationDate" minOccurs="0"/>
                <xsd:element ref="ns3:UBSStatus" minOccurs="0"/>
                <xsd:element ref="ns3:Vehicle" minOccurs="0"/>
                <xsd:element ref="ns3:VendorName" minOccurs="0"/>
                <xsd:element ref="ns3:AmeripriseCode" minOccurs="0"/>
                <xsd:element ref="ns3:AmeripriseExpirationDate" minOccurs="0"/>
                <xsd:element ref="ns3:AmeripriseStatus" minOccurs="0"/>
                <xsd:element ref="ns3:AssetExpirationDate" minOccurs="0"/>
                <xsd:element ref="ns3:BusinessDateDeadline" minOccurs="0"/>
                <xsd:element ref="ns4:Library" minOccurs="0"/>
                <xsd:element ref="ns3:MRCTag" minOccurs="0"/>
                <xsd:element ref="ns3:WellsFargoCode" minOccurs="0"/>
                <xsd:element ref="ns3:WellsFargoStatus" minOccurs="0"/>
                <xsd:element ref="ns3:WellsFargoExpirationDate" minOccurs="0"/>
                <xsd:element ref="ns3:Country" minOccurs="0"/>
                <xsd:element ref="ns1:Language" minOccurs="0"/>
                <xsd:element ref="ns3: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9" nillable="true" ma:displayName="Language" ma:internalName="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dd260-5b19-41d1-b286-aac207c950a5" elementFormDefault="qualified">
    <xsd:import namespace="http://schemas.microsoft.com/office/2006/documentManagement/types"/>
    <xsd:import namespace="http://schemas.microsoft.com/office/infopath/2007/PartnerControls"/>
    <xsd:element name="JanusInformationProtectionClassification" ma:index="8" nillable="true" ma:displayName="Janus Information Protection Classification" ma:format="Dropdown" ma:internalName="JanusInformationProtectionClassification">
      <xsd:simpleType>
        <xsd:restriction base="dms:Choice">
          <xsd:enumeration value="Public"/>
          <xsd:enumeration value="Internal Use Only"/>
          <xsd:enumeration value="Confidential"/>
          <xsd:enumeration value="Legally Protected"/>
        </xsd:restriction>
      </xsd:simpleType>
    </xsd:element>
    <xsd:element name="JanusInformationProtectionSub-Classification" ma:index="9" nillable="true" ma:displayName="Janus Information Protection Sub-Classification" ma:format="Dropdown" ma:internalName="JanusInformationProtectionSub_x002d_Classification">
      <xsd:simpleType>
        <xsd:restriction base="dms:Choice">
          <xsd:enumeration value="Material Non-Public Information"/>
          <xsd:enumeration value="Investment Information"/>
          <xsd:enumeration value="Intellectual Property"/>
          <xsd:enumeration value="Employee Information"/>
          <xsd:enumeration value="Employee PII"/>
          <xsd:enumeration value="Employee PHI"/>
          <xsd:enumeration value="Client Information"/>
          <xsd:enumeration value="Client PII"/>
          <xsd:enumeration value="Shareholder Information"/>
          <xsd:enumeration value="Shareholder PII"/>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9e2542-5784-4d34-9897-c9a365e93e45" elementFormDefault="qualified">
    <xsd:import namespace="http://schemas.microsoft.com/office/2006/documentManagement/types"/>
    <xsd:import namespace="http://schemas.microsoft.com/office/infopath/2007/PartnerControls"/>
    <xsd:element name="BusinessUnit" ma:index="13" nillable="true" ma:displayName="Business Unit" ma:internalName="BusinessUnit">
      <xsd:simpleType>
        <xsd:restriction base="dms:Text">
          <xsd:maxLength value="255"/>
        </xsd:restriction>
      </xsd:simpleType>
    </xsd:element>
    <xsd:element name="CCATDocumentID" ma:index="14" nillable="true" ma:displayName="C-CAT Document ID" ma:internalName="CCATDocumentID">
      <xsd:simpleType>
        <xsd:restriction base="dms:Text">
          <xsd:maxLength value="255"/>
        </xsd:restriction>
      </xsd:simpleType>
    </xsd:element>
    <xsd:element name="Channel" ma:index="15" nillable="true" ma:displayName="Channel" ma:internalName="Channel">
      <xsd:simpleType>
        <xsd:restriction base="dms:Text">
          <xsd:maxLength value="255"/>
        </xsd:restriction>
      </xsd:simpleType>
    </xsd:element>
    <xsd:element name="CitiCode" ma:index="16" nillable="true" ma:displayName="Citi Code" ma:internalName="CitiCode">
      <xsd:simpleType>
        <xsd:restriction base="dms:Text">
          <xsd:maxLength value="255"/>
        </xsd:restriction>
      </xsd:simpleType>
    </xsd:element>
    <xsd:element name="CitiExpirationDate" ma:index="17" nillable="true" ma:displayName="Citi Expiration Date" ma:format="DateOnly" ma:internalName="CitiExpirationDate">
      <xsd:simpleType>
        <xsd:restriction base="dms:DateTime"/>
      </xsd:simpleType>
    </xsd:element>
    <xsd:element name="CitiStatus" ma:index="18" nillable="true" ma:displayName="Citi Status" ma:internalName="CitiStatus">
      <xsd:simpleType>
        <xsd:restriction base="dms:Text">
          <xsd:maxLength value="255"/>
        </xsd:restriction>
      </xsd:simpleType>
    </xsd:element>
    <xsd:element name="CollateralAudience" ma:index="19" nillable="true" ma:displayName="Collateral Audience" ma:internalName="CollateralAudience">
      <xsd:simpleType>
        <xsd:restriction base="dms:Text">
          <xsd:maxLength value="255"/>
        </xsd:restriction>
      </xsd:simpleType>
    </xsd:element>
    <xsd:element name="ComplianceApproverName" ma:index="20" nillable="true" ma:displayName="Compliance Approver Name" ma:internalName="ComplianceApproverName">
      <xsd:simpleType>
        <xsd:restriction base="dms:Text">
          <xsd:maxLength value="255"/>
        </xsd:restriction>
      </xsd:simpleType>
    </xsd:element>
    <xsd:element name="Discipline" ma:index="21" nillable="true" ma:displayName="Discipline" ma:internalName="Discipline">
      <xsd:simpleType>
        <xsd:restriction base="dms:Text">
          <xsd:maxLength value="255"/>
        </xsd:restriction>
      </xsd:simpleType>
    </xsd:element>
    <xsd:element name="DocumentType" ma:index="22" nillable="true" ma:displayName="Document Type" ma:internalName="DocumentType">
      <xsd:simpleType>
        <xsd:restriction base="dms:Text">
          <xsd:maxLength value="255"/>
        </xsd:restriction>
      </xsd:simpleType>
    </xsd:element>
    <xsd:element name="EdwardJonesCode" ma:index="23" nillable="true" ma:displayName="Edward Jones Code" ma:internalName="EdwardJonesCode">
      <xsd:simpleType>
        <xsd:restriction base="dms:Text">
          <xsd:maxLength value="255"/>
        </xsd:restriction>
      </xsd:simpleType>
    </xsd:element>
    <xsd:element name="EdwardJonesExpirationDate" ma:index="24" nillable="true" ma:displayName="Edward Jones Expiration Date" ma:format="DateOnly" ma:internalName="EdwardJonesExpirationDate">
      <xsd:simpleType>
        <xsd:restriction base="dms:DateTime"/>
      </xsd:simpleType>
    </xsd:element>
    <xsd:element name="EdwardJonesStatus" ma:index="25" nillable="true" ma:displayName="Edward Jones Status" ma:internalName="EdwardJonesStatus">
      <xsd:simpleType>
        <xsd:restriction base="dms:Text">
          <xsd:maxLength value="255"/>
        </xsd:restriction>
      </xsd:simpleType>
    </xsd:element>
    <xsd:element name="EstimatedComplianceTaskCompletionDate" ma:index="26" nillable="true" ma:displayName="Estimated Compliance Task Completion Date" ma:format="DateOnly" ma:internalName="EstimatedComplianceTaskCompletionDate">
      <xsd:simpleType>
        <xsd:restriction base="dms:DateTime"/>
      </xsd:simpleType>
    </xsd:element>
    <xsd:element name="FileReleaseDate" ma:index="27" nillable="true" ma:displayName="File Release Date" ma:format="DateOnly" ma:internalName="FileReleaseDate">
      <xsd:simpleType>
        <xsd:restriction base="dms:DateTime"/>
      </xsd:simpleType>
    </xsd:element>
    <xsd:element name="FINRAReferenceNumber" ma:index="28" nillable="true" ma:displayName="FINRA Reference Number" ma:internalName="FINRAReferenceNumber">
      <xsd:simpleType>
        <xsd:restriction base="dms:Text">
          <xsd:maxLength value="255"/>
        </xsd:restriction>
      </xsd:simpleType>
    </xsd:element>
    <xsd:element name="FirmName" ma:index="29" nillable="true" ma:displayName="Firm Name" ma:internalName="FirmName">
      <xsd:simpleType>
        <xsd:restriction base="dms:Text">
          <xsd:maxLength value="255"/>
        </xsd:restriction>
      </xsd:simpleType>
    </xsd:element>
    <xsd:element name="FirstComplianceResponseDate" ma:index="30" nillable="true" ma:displayName="First Compliance Response Date" ma:format="DateOnly" ma:internalName="FirstComplianceResponseDate">
      <xsd:simpleType>
        <xsd:restriction base="dms:DateTime"/>
      </xsd:simpleType>
    </xsd:element>
    <xsd:element name="FirstUseDate" ma:index="31" nillable="true" ma:displayName="First Use Date" ma:format="DateOnly" ma:internalName="FirstUseDate">
      <xsd:simpleType>
        <xsd:restriction base="dms:DateTime"/>
      </xsd:simpleType>
    </xsd:element>
    <xsd:element name="IsComplianceReviewRequired" ma:index="32" nillable="true" ma:displayName="Is Compliance Review Required" ma:default="0" ma:internalName="IsComplianceReviewRequired">
      <xsd:simpleType>
        <xsd:restriction base="dms:Boolean"/>
      </xsd:simpleType>
    </xsd:element>
    <xsd:element name="IsCreativeServicesRequired" ma:index="33" nillable="true" ma:displayName="Is Creative Services Required" ma:default="0" ma:internalName="IsCreativeServicesRequired">
      <xsd:simpleType>
        <xsd:restriction base="dms:Boolean"/>
      </xsd:simpleType>
    </xsd:element>
    <xsd:element name="IsFINRAFilingRequired" ma:index="34" nillable="true" ma:displayName="Is FINRA Filing Required" ma:default="0" ma:internalName="IsFINRAFilingRequired">
      <xsd:simpleType>
        <xsd:restriction base="dms:Boolean"/>
      </xsd:simpleType>
    </xsd:element>
    <xsd:element name="IsFirmFilingRequested" ma:index="35" nillable="true" ma:displayName="Is Firm Filing Requested" ma:default="0" ma:internalName="IsFirmFilingRequested">
      <xsd:simpleType>
        <xsd:restriction base="dms:Boolean"/>
      </xsd:simpleType>
    </xsd:element>
    <xsd:element name="IsMRC" ma:index="36" nillable="true" ma:displayName="Is MRC" ma:default="0" ma:internalName="IsMRC">
      <xsd:simpleType>
        <xsd:restriction base="dms:Boolean"/>
      </xsd:simpleType>
    </xsd:element>
    <xsd:element name="IsPrintedCopiesRequired" ma:index="37" nillable="true" ma:displayName="Is Printed Copies Required" ma:default="0" ma:internalName="IsPrintedCopiesRequired">
      <xsd:simpleType>
        <xsd:restriction base="dms:Boolean"/>
      </xsd:simpleType>
    </xsd:element>
    <xsd:element name="JTRACProjectID" ma:index="38" nillable="true" ma:displayName="JTRAC Project ID" ma:internalName="JTRACProjectID">
      <xsd:simpleType>
        <xsd:restriction base="dms:Text">
          <xsd:maxLength value="255"/>
        </xsd:restriction>
      </xsd:simpleType>
    </xsd:element>
    <xsd:element name="LegalEntity" ma:index="39" nillable="true" ma:displayName="Legal Entity Issuing the Piece" ma:internalName="LegalEntity">
      <xsd:simpleType>
        <xsd:restriction base="dms:Text">
          <xsd:maxLength value="255"/>
        </xsd:restriction>
      </xsd:simpleType>
    </xsd:element>
    <xsd:element name="MerrillLynchCode" ma:index="40" nillable="true" ma:displayName="Merrill Lynch Code" ma:internalName="MerrillLynchCode">
      <xsd:simpleType>
        <xsd:restriction base="dms:Text">
          <xsd:maxLength value="255"/>
        </xsd:restriction>
      </xsd:simpleType>
    </xsd:element>
    <xsd:element name="MerrillLynchExpirationDate" ma:index="41" nillable="true" ma:displayName="Merrill Lynch Expiration Date" ma:format="DateOnly" ma:internalName="MerrillLynchExpirationDate">
      <xsd:simpleType>
        <xsd:restriction base="dms:DateTime"/>
      </xsd:simpleType>
    </xsd:element>
    <xsd:element name="MerrillLynchStatus" ma:index="42" nillable="true" ma:displayName="Merrill Lynch Status" ma:internalName="MerrillLynchStatus">
      <xsd:simpleType>
        <xsd:restriction base="dms:Text">
          <xsd:maxLength value="255"/>
        </xsd:restriction>
      </xsd:simpleType>
    </xsd:element>
    <xsd:element name="MorganStanleyCode" ma:index="43" nillable="true" ma:displayName="Morgan Stanley Code" ma:internalName="MorganStanleyCode">
      <xsd:simpleType>
        <xsd:restriction base="dms:Text">
          <xsd:maxLength value="255"/>
        </xsd:restriction>
      </xsd:simpleType>
    </xsd:element>
    <xsd:element name="MorganStanleyExpirationDate" ma:index="44" nillable="true" ma:displayName="Morgan Stanley Expiration Date" ma:format="DateOnly" ma:internalName="MorganStanleyExpirationDate">
      <xsd:simpleType>
        <xsd:restriction base="dms:DateTime"/>
      </xsd:simpleType>
    </xsd:element>
    <xsd:element name="MorganStanleyStatus" ma:index="45" nillable="true" ma:displayName="Morgan Stanley Status" ma:internalName="MorganStanleyStatus">
      <xsd:simpleType>
        <xsd:restriction base="dms:Text">
          <xsd:maxLength value="255"/>
        </xsd:restriction>
      </xsd:simpleType>
    </xsd:element>
    <xsd:element name="MRCCategory" ma:index="46" nillable="true" ma:displayName="MRC Category" ma:internalName="MRCCategory">
      <xsd:simpleType>
        <xsd:restriction base="dms:Text">
          <xsd:maxLength value="255"/>
        </xsd:restriction>
      </xsd:simpleType>
    </xsd:element>
    <xsd:element name="MRCFilter" ma:index="47" nillable="true" ma:displayName="MRC Filter" ma:internalName="MRCFilter">
      <xsd:simpleType>
        <xsd:restriction base="dms:Text">
          <xsd:maxLength value="255"/>
        </xsd:restriction>
      </xsd:simpleType>
    </xsd:element>
    <xsd:element name="PortfolioAttributeCode" ma:index="48" nillable="true" ma:displayName="Portfolio Attribute Code (PAC Id)" ma:internalName="PortfolioAttributeCode">
      <xsd:simpleType>
        <xsd:restriction base="dms:Text">
          <xsd:maxLength value="255"/>
        </xsd:restriction>
      </xsd:simpleType>
    </xsd:element>
    <xsd:element name="PortfolioManager" ma:index="49" nillable="true" ma:displayName="Portfolio Manager" ma:internalName="PortfolioManager">
      <xsd:simpleType>
        <xsd:restriction base="dms:Text">
          <xsd:maxLength value="255"/>
        </xsd:restriction>
      </xsd:simpleType>
    </xsd:element>
    <xsd:element name="PrintInhandDeliveryDate" ma:index="50" nillable="true" ma:displayName="Print In-hand Delivery Date" ma:format="DateOnly" ma:internalName="PrintInhandDeliveryDate">
      <xsd:simpleType>
        <xsd:restriction base="dms:DateTime"/>
      </xsd:simpleType>
    </xsd:element>
    <xsd:element name="Product" ma:index="51" nillable="true" ma:displayName="Product" ma:internalName="Product">
      <xsd:simpleType>
        <xsd:restriction base="dms:Note"/>
      </xsd:simpleType>
    </xsd:element>
    <xsd:element name="ProjectName" ma:index="52" nillable="true" ma:displayName="Project Name" ma:internalName="ProjectName">
      <xsd:simpleType>
        <xsd:restriction base="dms:Text">
          <xsd:maxLength value="255"/>
        </xsd:restriction>
      </xsd:simpleType>
    </xsd:element>
    <xsd:element name="CCATProjectOwner" ma:index="53" nillable="true" ma:displayName="Project Owner" ma:internalName="CCATProjectOwner">
      <xsd:simpleType>
        <xsd:restriction base="dms:Text">
          <xsd:maxLength value="255"/>
        </xsd:restriction>
      </xsd:simpleType>
    </xsd:element>
    <xsd:element name="ProjectType" ma:index="54" nillable="true" ma:displayName="Project Type" ma:internalName="ProjectType">
      <xsd:simpleType>
        <xsd:restriction base="dms:Text">
          <xsd:maxLength value="255"/>
        </xsd:restriction>
      </xsd:simpleType>
    </xsd:element>
    <xsd:element name="RaymondJamesCode" ma:index="55" nillable="true" ma:displayName="Raymond James Code" ma:internalName="RaymondJamesCode">
      <xsd:simpleType>
        <xsd:restriction base="dms:Text">
          <xsd:maxLength value="255"/>
        </xsd:restriction>
      </xsd:simpleType>
    </xsd:element>
    <xsd:element name="RaymondJamesExpirationDate" ma:index="56" nillable="true" ma:displayName="Raymond James Expiration Date" ma:format="DateOnly" ma:internalName="RaymondJamesExpirationDate">
      <xsd:simpleType>
        <xsd:restriction base="dms:DateTime"/>
      </xsd:simpleType>
    </xsd:element>
    <xsd:element name="RaymondJamesStatus" ma:index="57" nillable="true" ma:displayName="Raymond James Status" ma:internalName="RaymondJamesStatus">
      <xsd:simpleType>
        <xsd:restriction base="dms:Text">
          <xsd:maxLength value="255"/>
        </xsd:restriction>
      </xsd:simpleType>
    </xsd:element>
    <xsd:element name="ShareClass" ma:index="58" nillable="true" ma:displayName="Share Class" ma:internalName="ShareClass">
      <xsd:simpleType>
        <xsd:restriction base="dms:Note"/>
      </xsd:simpleType>
    </xsd:element>
    <xsd:element name="Strategy" ma:index="59" nillable="true" ma:displayName="Strategy" ma:internalName="Strategy">
      <xsd:simpleType>
        <xsd:restriction base="dms:Note"/>
      </xsd:simpleType>
    </xsd:element>
    <xsd:element name="Submitter" ma:index="60" nillable="true" ma:displayName="Submitter" ma:internalName="Submitter">
      <xsd:simpleType>
        <xsd:restriction base="dms:Text">
          <xsd:maxLength value="255"/>
        </xsd:restriction>
      </xsd:simpleType>
    </xsd:element>
    <xsd:element name="SynthesisID" ma:index="61" nillable="true" ma:displayName="Synthesis ID" ma:internalName="SynthesisID">
      <xsd:simpleType>
        <xsd:restriction base="dms:Text">
          <xsd:maxLength value="255"/>
        </xsd:restriction>
      </xsd:simpleType>
    </xsd:element>
    <xsd:element name="UBSCode" ma:index="62" nillable="true" ma:displayName="UBS Code" ma:internalName="UBSCode">
      <xsd:simpleType>
        <xsd:restriction base="dms:Text">
          <xsd:maxLength value="255"/>
        </xsd:restriction>
      </xsd:simpleType>
    </xsd:element>
    <xsd:element name="UBSExpirationDate" ma:index="63" nillable="true" ma:displayName="UBS Expiration Date" ma:format="DateOnly" ma:internalName="UBSExpirationDate">
      <xsd:simpleType>
        <xsd:restriction base="dms:DateTime"/>
      </xsd:simpleType>
    </xsd:element>
    <xsd:element name="UBSStatus" ma:index="64" nillable="true" ma:displayName="UBS Status" ma:internalName="UBSStatus">
      <xsd:simpleType>
        <xsd:restriction base="dms:Text">
          <xsd:maxLength value="255"/>
        </xsd:restriction>
      </xsd:simpleType>
    </xsd:element>
    <xsd:element name="Vehicle" ma:index="65" nillable="true" ma:displayName="Vehicle" ma:internalName="Vehicle">
      <xsd:simpleType>
        <xsd:restriction base="dms:Note">
          <xsd:maxLength value="255"/>
        </xsd:restriction>
      </xsd:simpleType>
    </xsd:element>
    <xsd:element name="VendorName" ma:index="66" nillable="true" ma:displayName="Vendor Name" ma:internalName="VendorName">
      <xsd:simpleType>
        <xsd:restriction base="dms:Text">
          <xsd:maxLength value="255"/>
        </xsd:restriction>
      </xsd:simpleType>
    </xsd:element>
    <xsd:element name="AmeripriseCode" ma:index="67" nillable="true" ma:displayName="Ameriprise Code" ma:internalName="AmeripriseCode">
      <xsd:simpleType>
        <xsd:restriction base="dms:Text">
          <xsd:maxLength value="255"/>
        </xsd:restriction>
      </xsd:simpleType>
    </xsd:element>
    <xsd:element name="AmeripriseExpirationDate" ma:index="68" nillable="true" ma:displayName="Ameriprise Expiration Date" ma:format="DateOnly" ma:internalName="AmeripriseExpirationDate">
      <xsd:simpleType>
        <xsd:restriction base="dms:DateTime"/>
      </xsd:simpleType>
    </xsd:element>
    <xsd:element name="AmeripriseStatus" ma:index="69" nillable="true" ma:displayName="Ameriprise Status" ma:internalName="AmeripriseStatus">
      <xsd:simpleType>
        <xsd:restriction base="dms:Text">
          <xsd:maxLength value="255"/>
        </xsd:restriction>
      </xsd:simpleType>
    </xsd:element>
    <xsd:element name="AssetExpirationDate" ma:index="70" nillable="true" ma:displayName="Asset Expiration Date" ma:format="DateOnly" ma:internalName="AssetExpirationDate">
      <xsd:simpleType>
        <xsd:restriction base="dms:DateTime"/>
      </xsd:simpleType>
    </xsd:element>
    <xsd:element name="BusinessDateDeadline" ma:index="71" nillable="true" ma:displayName="Business Date Deadline" ma:format="DateOnly" ma:internalName="BusinessDateDeadline">
      <xsd:simpleType>
        <xsd:restriction base="dms:DateTime"/>
      </xsd:simpleType>
    </xsd:element>
    <xsd:element name="MRCTag" ma:index="73" nillable="true" ma:displayName="MRC Tag" ma:internalName="MRCTag">
      <xsd:simpleType>
        <xsd:restriction base="dms:Text">
          <xsd:maxLength value="255"/>
        </xsd:restriction>
      </xsd:simpleType>
    </xsd:element>
    <xsd:element name="WellsFargoCode" ma:index="74" nillable="true" ma:displayName="Wells Fargo Code" ma:internalName="WellsFargoCode">
      <xsd:simpleType>
        <xsd:restriction base="dms:Text">
          <xsd:maxLength value="255"/>
        </xsd:restriction>
      </xsd:simpleType>
    </xsd:element>
    <xsd:element name="WellsFargoStatus" ma:index="75" nillable="true" ma:displayName="Wells Fargo Status" ma:internalName="WellsFargoStatus">
      <xsd:simpleType>
        <xsd:restriction base="dms:Text">
          <xsd:maxLength value="255"/>
        </xsd:restriction>
      </xsd:simpleType>
    </xsd:element>
    <xsd:element name="WellsFargoExpirationDate" ma:index="76" nillable="true" ma:displayName="Wells Fargo Expiration Date" ma:format="DateOnly" ma:internalName="WellsFargoExpirationDate">
      <xsd:simpleType>
        <xsd:restriction base="dms:DateTime"/>
      </xsd:simpleType>
    </xsd:element>
    <xsd:element name="Country" ma:index="78" nillable="true" ma:displayName="Country" ma:internalName="Country">
      <xsd:simpleType>
        <xsd:restriction base="dms:Text">
          <xsd:maxLength value="255"/>
        </xsd:restriction>
      </xsd:simpleType>
    </xsd:element>
    <xsd:element name="Region" ma:index="80" nillable="true" ma:displayName="Region" ma:internalName="Reg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d78ab-5b92-465f-b35f-ab5305cfe00e" elementFormDefault="qualified">
    <xsd:import namespace="http://schemas.microsoft.com/office/2006/documentManagement/types"/>
    <xsd:import namespace="http://schemas.microsoft.com/office/infopath/2007/PartnerControls"/>
    <xsd:element name="Library" ma:index="72" nillable="true" ma:displayName="Library" ma:default="Final" ma:internalName="Libr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cf741b-59ca-4884-a3e6-3279af96bc18" ContentTypeId="0x010100DB00D8E4FA92D245B29A15982E35713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sFINRAFilingRequired xmlns="ed9e2542-5784-4d34-9897-c9a365e93e45">false</IsFINRAFilingRequired>
    <MRCFilter xmlns="ed9e2542-5784-4d34-9897-c9a365e93e45" xsi:nil="true"/>
    <SynthesisID xmlns="ed9e2542-5784-4d34-9897-c9a365e93e45" xsi:nil="true"/>
    <Language xmlns="http://schemas.microsoft.com/sharepoint/v3" xsi:nil="true"/>
    <JanusInformationProtectionClassification xmlns="bc5dd260-5b19-41d1-b286-aac207c950a5" xsi:nil="true"/>
    <ComplianceApproverName xmlns="ed9e2542-5784-4d34-9897-c9a365e93e45" xsi:nil="true"/>
    <Discipline xmlns="ed9e2542-5784-4d34-9897-c9a365e93e45" xsi:nil="true"/>
    <Vehicle xmlns="ed9e2542-5784-4d34-9897-c9a365e93e45" xsi:nil="true"/>
    <FirmName xmlns="ed9e2542-5784-4d34-9897-c9a365e93e45" xsi:nil="true"/>
    <IsCreativeServicesRequired xmlns="ed9e2542-5784-4d34-9897-c9a365e93e45">false</IsCreativeServicesRequired>
    <IsMRC xmlns="ed9e2542-5784-4d34-9897-c9a365e93e45">false</IsMRC>
    <Country xmlns="ed9e2542-5784-4d34-9897-c9a365e93e45" xsi:nil="true"/>
    <Product xmlns="ed9e2542-5784-4d34-9897-c9a365e93e45" xsi:nil="true"/>
    <CCATProjectOwner xmlns="ed9e2542-5784-4d34-9897-c9a365e93e45" xsi:nil="true"/>
    <EdwardJonesCode xmlns="ed9e2542-5784-4d34-9897-c9a365e93e45" xsi:nil="true"/>
    <UBSExpirationDate xmlns="ed9e2542-5784-4d34-9897-c9a365e93e45" xsi:nil="true"/>
    <DocumentType xmlns="ed9e2542-5784-4d34-9897-c9a365e93e45">Doc: Final</DocumentType>
    <VendorName xmlns="ed9e2542-5784-4d34-9897-c9a365e93e45" xsi:nil="true"/>
    <AmeripriseExpirationDate xmlns="ed9e2542-5784-4d34-9897-c9a365e93e45" xsi:nil="true"/>
    <IsFirmFilingRequested xmlns="ed9e2542-5784-4d34-9897-c9a365e93e45">false</IsFirmFilingRequested>
    <MerrillLynchCode xmlns="ed9e2542-5784-4d34-9897-c9a365e93e45" xsi:nil="true"/>
    <AmeripriseCode xmlns="ed9e2542-5784-4d34-9897-c9a365e93e45" xsi:nil="true"/>
    <AmeripriseStatus xmlns="ed9e2542-5784-4d34-9897-c9a365e93e45" xsi:nil="true"/>
    <BusinessDateDeadline xmlns="ed9e2542-5784-4d34-9897-c9a365e93e45" xsi:nil="true"/>
    <PrintInhandDeliveryDate xmlns="ed9e2542-5784-4d34-9897-c9a365e93e45" xsi:nil="true"/>
    <Region xmlns="ed9e2542-5784-4d34-9897-c9a365e93e45" xsi:nil="true"/>
    <FINRAReferenceNumber xmlns="ed9e2542-5784-4d34-9897-c9a365e93e45" xsi:nil="true"/>
    <BusinessUnit xmlns="ed9e2542-5784-4d34-9897-c9a365e93e45" xsi:nil="true"/>
    <Channel xmlns="ed9e2542-5784-4d34-9897-c9a365e93e45" xsi:nil="true"/>
    <CitiCode xmlns="ed9e2542-5784-4d34-9897-c9a365e93e45" xsi:nil="true"/>
    <FileReleaseDate xmlns="ed9e2542-5784-4d34-9897-c9a365e93e45" xsi:nil="true"/>
    <MRCCategory xmlns="ed9e2542-5784-4d34-9897-c9a365e93e45" xsi:nil="true"/>
    <RaymondJamesExpirationDate xmlns="ed9e2542-5784-4d34-9897-c9a365e93e45" xsi:nil="true"/>
    <UBSCode xmlns="ed9e2542-5784-4d34-9897-c9a365e93e45" xsi:nil="true"/>
    <RaymondJamesCode xmlns="ed9e2542-5784-4d34-9897-c9a365e93e45" xsi:nil="true"/>
    <RaymondJamesStatus xmlns="ed9e2542-5784-4d34-9897-c9a365e93e45" xsi:nil="true"/>
    <MRCTag xmlns="ed9e2542-5784-4d34-9897-c9a365e93e45" xsi:nil="true"/>
    <MorganStanleyStatus xmlns="ed9e2542-5784-4d34-9897-c9a365e93e45" xsi:nil="true"/>
    <ProjectType xmlns="ed9e2542-5784-4d34-9897-c9a365e93e45" xsi:nil="true"/>
    <JanusInformationProtectionSub-Classification xmlns="bc5dd260-5b19-41d1-b286-aac207c950a5" xsi:nil="true"/>
    <CollateralAudience xmlns="ed9e2542-5784-4d34-9897-c9a365e93e45" xsi:nil="true"/>
    <AssetExpirationDate xmlns="ed9e2542-5784-4d34-9897-c9a365e93e45" xsi:nil="true"/>
    <WellsFargoStatus xmlns="ed9e2542-5784-4d34-9897-c9a365e93e45" xsi:nil="true"/>
    <CitiStatus xmlns="ed9e2542-5784-4d34-9897-c9a365e93e45" xsi:nil="true"/>
    <EdwardJonesExpirationDate xmlns="ed9e2542-5784-4d34-9897-c9a365e93e45" xsi:nil="true"/>
    <Library xmlns="493d78ab-5b92-465f-b35f-ab5305cfe00e">Final</Library>
    <CCATDocumentID xmlns="ed9e2542-5784-4d34-9897-c9a365e93e45" xsi:nil="true"/>
    <CitiExpirationDate xmlns="ed9e2542-5784-4d34-9897-c9a365e93e45" xsi:nil="true"/>
    <IsComplianceReviewRequired xmlns="ed9e2542-5784-4d34-9897-c9a365e93e45">false</IsComplianceReviewRequired>
    <MorganStanleyCode xmlns="ed9e2542-5784-4d34-9897-c9a365e93e45" xsi:nil="true"/>
    <ProjectName xmlns="ed9e2542-5784-4d34-9897-c9a365e93e45" xsi:nil="true"/>
    <Strategy xmlns="ed9e2542-5784-4d34-9897-c9a365e93e45" xsi:nil="true"/>
    <Submitter xmlns="ed9e2542-5784-4d34-9897-c9a365e93e45" xsi:nil="true"/>
    <WellsFargoExpirationDate xmlns="ed9e2542-5784-4d34-9897-c9a365e93e45" xsi:nil="true"/>
    <JTRACProjectID xmlns="ed9e2542-5784-4d34-9897-c9a365e93e45">117335</JTRACProjectID>
    <LegalEntity xmlns="ed9e2542-5784-4d34-9897-c9a365e93e45" xsi:nil="true"/>
    <UBSStatus xmlns="ed9e2542-5784-4d34-9897-c9a365e93e45" xsi:nil="true"/>
    <WellsFargoCode xmlns="ed9e2542-5784-4d34-9897-c9a365e93e45" xsi:nil="true"/>
    <EdwardJonesStatus xmlns="ed9e2542-5784-4d34-9897-c9a365e93e45" xsi:nil="true"/>
    <MerrillLynchExpirationDate xmlns="ed9e2542-5784-4d34-9897-c9a365e93e45" xsi:nil="true"/>
    <PortfolioAttributeCode xmlns="ed9e2542-5784-4d34-9897-c9a365e93e45" xsi:nil="true"/>
    <ShareClass xmlns="ed9e2542-5784-4d34-9897-c9a365e93e45" xsi:nil="true"/>
    <FirstComplianceResponseDate xmlns="ed9e2542-5784-4d34-9897-c9a365e93e45" xsi:nil="true"/>
    <FirstUseDate xmlns="ed9e2542-5784-4d34-9897-c9a365e93e45" xsi:nil="true"/>
    <IsPrintedCopiesRequired xmlns="ed9e2542-5784-4d34-9897-c9a365e93e45">false</IsPrintedCopiesRequired>
    <MerrillLynchStatus xmlns="ed9e2542-5784-4d34-9897-c9a365e93e45" xsi:nil="true"/>
    <EstimatedComplianceTaskCompletionDate xmlns="ed9e2542-5784-4d34-9897-c9a365e93e45" xsi:nil="true"/>
    <MorganStanleyExpirationDate xmlns="ed9e2542-5784-4d34-9897-c9a365e93e45" xsi:nil="true"/>
    <PortfolioManager xmlns="ed9e2542-5784-4d34-9897-c9a365e93e45" xsi:nil="true"/>
    <_dlc_DocId xmlns="bc5dd260-5b19-41d1-b286-aac207c950a5">CCAT-2-130188</_dlc_DocId>
    <_dlc_DocIdUrl xmlns="bc5dd260-5b19-41d1-b286-aac207c950a5">
      <Url>https://docv.myjonline.com/ccat/_layouts/15/DocIdRedir.aspx?ID=CCAT-2-130188</Url>
      <Description>CCAT-2-130188</Description>
    </_dlc_DocIdUrl>
  </documentManagement>
</p:properties>
</file>

<file path=customXml/itemProps1.xml><?xml version="1.0" encoding="utf-8"?>
<ds:datastoreItem xmlns:ds="http://schemas.openxmlformats.org/officeDocument/2006/customXml" ds:itemID="{866E5305-95CB-434C-B4D8-C4E59F489A06}">
  <ds:schemaRefs>
    <ds:schemaRef ds:uri="http://schemas.openxmlformats.org/officeDocument/2006/bibliography"/>
  </ds:schemaRefs>
</ds:datastoreItem>
</file>

<file path=customXml/itemProps2.xml><?xml version="1.0" encoding="utf-8"?>
<ds:datastoreItem xmlns:ds="http://schemas.openxmlformats.org/officeDocument/2006/customXml" ds:itemID="{378477CE-8D5C-4EDC-8755-8ACDDDF0CA21}"/>
</file>

<file path=customXml/itemProps3.xml><?xml version="1.0" encoding="utf-8"?>
<ds:datastoreItem xmlns:ds="http://schemas.openxmlformats.org/officeDocument/2006/customXml" ds:itemID="{1F9CB532-3C0D-4BCF-988D-B7B463A2D752}"/>
</file>

<file path=customXml/itemProps4.xml><?xml version="1.0" encoding="utf-8"?>
<ds:datastoreItem xmlns:ds="http://schemas.openxmlformats.org/officeDocument/2006/customXml" ds:itemID="{3E008330-3C37-4391-95E3-24712C5588C3}"/>
</file>

<file path=customXml/itemProps5.xml><?xml version="1.0" encoding="utf-8"?>
<ds:datastoreItem xmlns:ds="http://schemas.openxmlformats.org/officeDocument/2006/customXml" ds:itemID="{71308B27-8ED8-4BC6-8500-1D89B745C04B}"/>
</file>

<file path=customXml/itemProps6.xml><?xml version="1.0" encoding="utf-8"?>
<ds:datastoreItem xmlns:ds="http://schemas.openxmlformats.org/officeDocument/2006/customXml" ds:itemID="{F9751A38-4D84-4AFE-B8A7-77EC12A370F6}"/>
</file>

<file path=docProps/app.xml><?xml version="1.0" encoding="utf-8"?>
<Properties xmlns="http://schemas.openxmlformats.org/officeDocument/2006/extended-properties" xmlns:vt="http://schemas.openxmlformats.org/officeDocument/2006/docPropsVTypes">
  <Template>Normal</Template>
  <TotalTime>7</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Lowland Investment Company - December monthly commentary</dc:title>
  <dc:subject/>
  <dc:creator>Alexandra Sangster</dc:creator>
  <cp:keywords/>
  <dc:description/>
  <cp:lastModifiedBy>Andrew Chiguri</cp:lastModifiedBy>
  <cp:revision>7</cp:revision>
  <dcterms:created xsi:type="dcterms:W3CDTF">2022-01-18T14:54:00Z</dcterms:created>
  <dcterms:modified xsi:type="dcterms:W3CDTF">2022-01-18T15:02:00Z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4c57a-b775-490a-a27c-0e643c8fd3c7_Enabled">
    <vt:lpwstr>true</vt:lpwstr>
  </property>
  <property fmtid="{D5CDD505-2E9C-101B-9397-08002B2CF9AE}" pid="3" name="MSIP_Label_7254c57a-b775-490a-a27c-0e643c8fd3c7_SetDate">
    <vt:lpwstr>2022-01-17T14:48:01Z</vt:lpwstr>
  </property>
  <property fmtid="{D5CDD505-2E9C-101B-9397-08002B2CF9AE}" pid="4" name="MSIP_Label_7254c57a-b775-490a-a27c-0e643c8fd3c7_Method">
    <vt:lpwstr>Standard</vt:lpwstr>
  </property>
  <property fmtid="{D5CDD505-2E9C-101B-9397-08002B2CF9AE}" pid="5" name="MSIP_Label_7254c57a-b775-490a-a27c-0e643c8fd3c7_Name">
    <vt:lpwstr>7254c57a-b775-490a-a27c-0e643c8fd3c7</vt:lpwstr>
  </property>
  <property fmtid="{D5CDD505-2E9C-101B-9397-08002B2CF9AE}" pid="6" name="MSIP_Label_7254c57a-b775-490a-a27c-0e643c8fd3c7_SiteId">
    <vt:lpwstr>09d5c224-c624-4040-ba7b-dcfa64d7b17a</vt:lpwstr>
  </property>
  <property fmtid="{D5CDD505-2E9C-101B-9397-08002B2CF9AE}" pid="7" name="MSIP_Label_7254c57a-b775-490a-a27c-0e643c8fd3c7_ActionId">
    <vt:lpwstr>9063d9f7-de44-46ee-9468-27462395f7c4</vt:lpwstr>
  </property>
  <property fmtid="{D5CDD505-2E9C-101B-9397-08002B2CF9AE}" pid="8" name="MSIP_Label_7254c57a-b775-490a-a27c-0e643c8fd3c7_ContentBits">
    <vt:lpwstr>0</vt:lpwstr>
  </property>
  <property fmtid="{D5CDD505-2E9C-101B-9397-08002B2CF9AE}" pid="9" name="ContentTypeId">
    <vt:lpwstr>0x010100DB00D8E4FA92D245B29A15982E35713B0005ACAC32B87B5C4CABDCFCA69E5C7B200001911907CC6EA34694D444A5D4CEBBEF</vt:lpwstr>
  </property>
  <property fmtid="{D5CDD505-2E9C-101B-9397-08002B2CF9AE}" pid="10" name="_dlc_DocIdItemGuid">
    <vt:lpwstr>e6f2a6b7-6409-4506-9006-be58548c5220</vt:lpwstr>
  </property>
</Properties>
</file>